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DBC" w:rsidRDefault="007767CC" w:rsidP="00D31DBC">
      <w:pPr>
        <w:pStyle w:val="Header"/>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sidR="002D6F36">
        <w:rPr>
          <w:lang w:val="en-GB"/>
        </w:rPr>
        <w:t>11</w:t>
      </w:r>
      <w:r w:rsidR="007B4943">
        <w:rPr>
          <w:rFonts w:eastAsiaTheme="minorEastAsia" w:hint="eastAsia"/>
          <w:lang w:val="en-GB" w:eastAsia="zh-CN"/>
        </w:rPr>
        <w:t>3</w:t>
      </w:r>
      <w:r>
        <w:rPr>
          <w:lang w:val="en-GB"/>
        </w:rPr>
        <w:t xml:space="preserve"> electronic</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SimSun" w:hint="eastAsia"/>
          <w:sz w:val="22"/>
          <w:szCs w:val="22"/>
          <w:lang w:val="en-GB" w:eastAsia="zh-CN"/>
        </w:rPr>
        <w:t xml:space="preserve"> </w:t>
      </w:r>
      <w:r w:rsidR="00D31DBC">
        <w:rPr>
          <w:rFonts w:eastAsia="SimSun" w:hint="eastAsia"/>
          <w:sz w:val="22"/>
          <w:szCs w:val="22"/>
          <w:lang w:val="en-GB" w:eastAsia="zh-CN"/>
        </w:rPr>
        <w:tab/>
      </w:r>
      <w:r w:rsidR="00D31DBC" w:rsidRPr="00C638B7">
        <w:rPr>
          <w:rFonts w:eastAsia="SimSun"/>
          <w:sz w:val="22"/>
          <w:szCs w:val="22"/>
          <w:lang w:val="en-GB" w:eastAsia="zh-CN"/>
        </w:rPr>
        <w:t>R2-</w:t>
      </w:r>
      <w:r w:rsidR="001A483A">
        <w:rPr>
          <w:rFonts w:eastAsia="SimSun" w:hint="eastAsia"/>
          <w:sz w:val="22"/>
          <w:szCs w:val="22"/>
          <w:lang w:val="en-GB" w:eastAsia="zh-CN"/>
        </w:rPr>
        <w:t>2101668</w:t>
      </w:r>
    </w:p>
    <w:p w:rsidR="00880E6B" w:rsidRPr="002106B8" w:rsidRDefault="007767CC" w:rsidP="00D31DBC">
      <w:pPr>
        <w:pStyle w:val="Header"/>
        <w:rPr>
          <w:lang w:val="en-GB"/>
        </w:rPr>
      </w:pPr>
      <w:r w:rsidRPr="002106B8">
        <w:rPr>
          <w:lang w:val="en-GB"/>
        </w:rPr>
        <w:t xml:space="preserve">Online, </w:t>
      </w:r>
      <w:r w:rsidR="007B4943">
        <w:rPr>
          <w:lang w:val="en-GB"/>
        </w:rPr>
        <w:t>25</w:t>
      </w:r>
      <w:r w:rsidR="007B4943" w:rsidRPr="007B4943">
        <w:rPr>
          <w:vertAlign w:val="superscript"/>
          <w:lang w:val="en-GB"/>
        </w:rPr>
        <w:t>th</w:t>
      </w:r>
      <w:r w:rsidR="007B4943">
        <w:rPr>
          <w:lang w:val="en-GB"/>
        </w:rPr>
        <w:t xml:space="preserve"> January</w:t>
      </w:r>
      <w:r w:rsidR="007B4943">
        <w:rPr>
          <w:rFonts w:eastAsiaTheme="minorEastAsia"/>
          <w:lang w:val="en-GB" w:eastAsia="zh-CN"/>
        </w:rPr>
        <w:t xml:space="preserve"> </w:t>
      </w:r>
      <w:r w:rsidR="007B4943">
        <w:rPr>
          <w:lang w:val="en-GB"/>
        </w:rPr>
        <w:t>–</w:t>
      </w:r>
      <w:r w:rsidR="002D6F36">
        <w:rPr>
          <w:lang w:val="en-GB"/>
        </w:rPr>
        <w:t xml:space="preserve"> </w:t>
      </w:r>
      <w:r w:rsidR="007B4943">
        <w:rPr>
          <w:rFonts w:eastAsiaTheme="minorEastAsia" w:hint="eastAsia"/>
          <w:lang w:val="en-GB" w:eastAsia="zh-CN"/>
        </w:rPr>
        <w:t>5</w:t>
      </w:r>
      <w:r w:rsidR="007B4943" w:rsidRPr="007B4943">
        <w:rPr>
          <w:rFonts w:eastAsiaTheme="minorEastAsia" w:hint="eastAsia"/>
          <w:vertAlign w:val="superscript"/>
          <w:lang w:val="en-GB" w:eastAsia="zh-CN"/>
        </w:rPr>
        <w:t>t</w:t>
      </w:r>
      <w:r w:rsidR="007B4943" w:rsidRPr="007B4943">
        <w:rPr>
          <w:rFonts w:eastAsiaTheme="minorEastAsia"/>
          <w:vertAlign w:val="superscript"/>
          <w:lang w:val="en-GB" w:eastAsia="zh-CN"/>
        </w:rPr>
        <w:t>h</w:t>
      </w:r>
      <w:r w:rsidR="007B4943">
        <w:rPr>
          <w:rFonts w:eastAsiaTheme="minorEastAsia"/>
          <w:lang w:val="en-GB" w:eastAsia="zh-CN"/>
        </w:rPr>
        <w:t xml:space="preserve"> February</w:t>
      </w:r>
      <w:r w:rsidR="007B4943">
        <w:rPr>
          <w:lang w:val="en-GB"/>
        </w:rPr>
        <w:t>, 2021</w:t>
      </w:r>
    </w:p>
    <w:bookmarkEnd w:id="0"/>
    <w:bookmarkEnd w:id="1"/>
    <w:bookmarkEnd w:id="2"/>
    <w:bookmarkEnd w:id="3"/>
    <w:p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7B4943">
        <w:rPr>
          <w:rFonts w:eastAsia="SimSun" w:cs="Arial"/>
          <w:sz w:val="22"/>
          <w:szCs w:val="22"/>
          <w:lang w:eastAsia="zh-CN"/>
        </w:rPr>
        <w:t>Google</w:t>
      </w:r>
      <w:r w:rsidR="006F05EC">
        <w:rPr>
          <w:rFonts w:eastAsia="SimSun" w:cs="Arial"/>
          <w:sz w:val="22"/>
          <w:szCs w:val="22"/>
          <w:lang w:eastAsia="zh-CN"/>
        </w:rPr>
        <w:t xml:space="preserve"> Inc.</w:t>
      </w:r>
      <w:bookmarkStart w:id="4" w:name="_GoBack"/>
      <w:bookmarkEnd w:id="4"/>
    </w:p>
    <w:p w:rsidR="00880E6B" w:rsidRPr="008F30F4" w:rsidRDefault="00880E6B" w:rsidP="00880E6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8F30F4">
        <w:rPr>
          <w:rFonts w:eastAsiaTheme="minorEastAsia" w:cs="Arial" w:hint="eastAsia"/>
          <w:sz w:val="22"/>
          <w:szCs w:val="22"/>
          <w:lang w:eastAsia="zh-CN"/>
        </w:rPr>
        <w:t xml:space="preserve">Discussion on </w:t>
      </w:r>
      <w:r w:rsidR="004A3830">
        <w:rPr>
          <w:rFonts w:eastAsiaTheme="minorEastAsia" w:cs="Arial"/>
          <w:sz w:val="22"/>
          <w:szCs w:val="22"/>
          <w:lang w:eastAsia="zh-CN"/>
        </w:rPr>
        <w:t>successive CHO failure scenarios</w:t>
      </w:r>
    </w:p>
    <w:p w:rsidR="00880E6B" w:rsidRPr="0012366E" w:rsidRDefault="00880E6B" w:rsidP="00880E6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3F0D56">
        <w:rPr>
          <w:rFonts w:cs="Arial"/>
          <w:sz w:val="22"/>
          <w:szCs w:val="22"/>
        </w:rPr>
        <w:t>8.</w:t>
      </w:r>
      <w:r w:rsidR="00896460">
        <w:rPr>
          <w:rFonts w:cs="Arial" w:hint="eastAsia"/>
          <w:sz w:val="22"/>
          <w:szCs w:val="22"/>
        </w:rPr>
        <w:t>13.2.1</w:t>
      </w:r>
    </w:p>
    <w:p w:rsidR="00880E6B" w:rsidRPr="00B81B31" w:rsidRDefault="00880E6B" w:rsidP="00880E6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Heading1"/>
        <w:numPr>
          <w:ilvl w:val="0"/>
          <w:numId w:val="5"/>
        </w:numPr>
        <w:tabs>
          <w:tab w:val="num" w:pos="1418"/>
        </w:tabs>
        <w:jc w:val="both"/>
        <w:rPr>
          <w:szCs w:val="28"/>
        </w:rPr>
      </w:pPr>
      <w:r>
        <w:rPr>
          <w:szCs w:val="28"/>
        </w:rPr>
        <w:t>Introduction</w:t>
      </w:r>
    </w:p>
    <w:p w:rsidR="007B4943" w:rsidRDefault="007B4943" w:rsidP="007B4943">
      <w:pPr>
        <w:pStyle w:val="Doc-title"/>
        <w:rPr>
          <w:rFonts w:eastAsiaTheme="minorEastAsia"/>
          <w:lang w:eastAsia="zh-CN"/>
        </w:rPr>
      </w:pPr>
      <w:r>
        <w:rPr>
          <w:rFonts w:eastAsiaTheme="minorEastAsia" w:hint="eastAsia"/>
          <w:lang w:eastAsia="zh-CN"/>
        </w:rPr>
        <w:t>In RAN2#112</w:t>
      </w:r>
      <w:r w:rsidR="00FB72E6">
        <w:rPr>
          <w:rFonts w:eastAsiaTheme="minorEastAsia" w:hint="eastAsia"/>
          <w:lang w:eastAsia="zh-CN"/>
        </w:rPr>
        <w:t>-</w:t>
      </w:r>
      <w:r w:rsidR="00914C7C">
        <w:rPr>
          <w:rFonts w:eastAsiaTheme="minorEastAsia" w:hint="eastAsia"/>
          <w:lang w:eastAsia="zh-CN"/>
        </w:rPr>
        <w:t xml:space="preserve">e meeting, </w:t>
      </w:r>
      <w:r w:rsidR="00FE58BF">
        <w:rPr>
          <w:rFonts w:eastAsiaTheme="minorEastAsia" w:hint="eastAsia"/>
          <w:lang w:eastAsia="zh-CN"/>
        </w:rPr>
        <w:t xml:space="preserve">RAN2 </w:t>
      </w:r>
      <w:r w:rsidR="0096152A">
        <w:rPr>
          <w:rFonts w:eastAsiaTheme="minorEastAsia" w:hint="eastAsia"/>
          <w:lang w:eastAsia="zh-CN"/>
        </w:rPr>
        <w:t xml:space="preserve">agreed </w:t>
      </w:r>
      <w:r w:rsidR="006046DD">
        <w:rPr>
          <w:rFonts w:eastAsiaTheme="minorEastAsia" w:hint="eastAsia"/>
          <w:lang w:eastAsia="zh-CN"/>
        </w:rPr>
        <w:t xml:space="preserve">to </w:t>
      </w:r>
      <w:r>
        <w:rPr>
          <w:rFonts w:eastAsiaTheme="minorEastAsia"/>
          <w:lang w:eastAsia="zh-CN"/>
        </w:rPr>
        <w:t xml:space="preserve">have following </w:t>
      </w:r>
      <w:r w:rsidR="008466FE">
        <w:rPr>
          <w:rFonts w:eastAsiaTheme="minorEastAsia"/>
          <w:lang w:eastAsia="zh-CN"/>
        </w:rPr>
        <w:t>successive</w:t>
      </w:r>
      <w:r>
        <w:rPr>
          <w:rFonts w:eastAsiaTheme="minorEastAsia"/>
          <w:lang w:eastAsia="zh-CN"/>
        </w:rPr>
        <w:t xml:space="preserve"> CHO failure </w:t>
      </w:r>
      <w:r w:rsidR="004A3830">
        <w:rPr>
          <w:rFonts w:eastAsiaTheme="minorEastAsia"/>
          <w:lang w:eastAsia="zh-CN"/>
        </w:rPr>
        <w:t>scenarios</w:t>
      </w:r>
      <w:r>
        <w:rPr>
          <w:rFonts w:eastAsiaTheme="minorEastAsia"/>
          <w:lang w:eastAsia="zh-CN"/>
        </w:rPr>
        <w:t xml:space="preserve">. </w:t>
      </w:r>
    </w:p>
    <w:p w:rsidR="007B4943" w:rsidRDefault="007B4943" w:rsidP="007B4943">
      <w:pPr>
        <w:pStyle w:val="Doc-title"/>
        <w:rPr>
          <w:rFonts w:eastAsiaTheme="minorEastAsia"/>
          <w:lang w:eastAsia="zh-CN"/>
        </w:rPr>
      </w:pPr>
      <w:r>
        <w:rPr>
          <w:rFonts w:eastAsiaTheme="minorEastAsia"/>
          <w:lang w:eastAsia="zh-CN"/>
        </w:rPr>
        <w:t xml:space="preserve">This paper further discusses the </w:t>
      </w:r>
      <w:r w:rsidR="004A3830">
        <w:rPr>
          <w:rFonts w:eastAsiaTheme="minorEastAsia"/>
          <w:lang w:eastAsia="zh-CN"/>
        </w:rPr>
        <w:t>scenario</w:t>
      </w:r>
      <w:r>
        <w:rPr>
          <w:rFonts w:eastAsiaTheme="minorEastAsia"/>
          <w:lang w:eastAsia="zh-CN"/>
        </w:rPr>
        <w:t xml:space="preserve"> c.</w:t>
      </w:r>
    </w:p>
    <w:p w:rsidR="007B4943" w:rsidRPr="007B4943" w:rsidRDefault="007B4943" w:rsidP="007B4943">
      <w:pPr>
        <w:pStyle w:val="Doc-text2"/>
        <w:ind w:left="0" w:firstLine="0"/>
        <w:rPr>
          <w:lang w:eastAsia="zh-CN"/>
        </w:rPr>
      </w:pPr>
    </w:p>
    <w:p w:rsidR="007B4943" w:rsidRPr="002C65AF" w:rsidRDefault="007B4943" w:rsidP="007B4943">
      <w:pPr>
        <w:pStyle w:val="Doc-text2"/>
      </w:pPr>
    </w:p>
    <w:p w:rsidR="007B4943" w:rsidRDefault="007B4943" w:rsidP="007B4943">
      <w:pPr>
        <w:pStyle w:val="Doc-text2"/>
        <w:pBdr>
          <w:top w:val="single" w:sz="4" w:space="1" w:color="auto"/>
          <w:left w:val="single" w:sz="4" w:space="4" w:color="auto"/>
          <w:bottom w:val="single" w:sz="4" w:space="1" w:color="auto"/>
          <w:right w:val="single" w:sz="4" w:space="4" w:color="auto"/>
        </w:pBdr>
      </w:pPr>
      <w:r>
        <w:t>Focused scenarios:</w:t>
      </w:r>
    </w:p>
    <w:p w:rsidR="007B4943" w:rsidRPr="002C65AF" w:rsidRDefault="007B4943" w:rsidP="007B4943">
      <w:pPr>
        <w:pStyle w:val="Doc-text2"/>
        <w:pBdr>
          <w:top w:val="single" w:sz="4" w:space="1" w:color="auto"/>
          <w:left w:val="single" w:sz="4" w:space="4" w:color="auto"/>
          <w:bottom w:val="single" w:sz="4" w:space="1" w:color="auto"/>
          <w:right w:val="single" w:sz="4" w:space="4" w:color="auto"/>
        </w:pBdr>
      </w:pPr>
      <w:r>
        <w:t>I</w:t>
      </w:r>
      <w:r w:rsidRPr="002C65AF">
        <w:t>n case of successive CHO related failures, the UE stores and reports both RLF related information in the RLF report. The successive failure referred above, includes at least the following scenarios.</w:t>
      </w:r>
    </w:p>
    <w:p w:rsidR="007B4943" w:rsidRPr="002C65AF" w:rsidRDefault="007B4943" w:rsidP="007B4943">
      <w:pPr>
        <w:pStyle w:val="Doc-text2"/>
        <w:pBdr>
          <w:top w:val="single" w:sz="4" w:space="1" w:color="auto"/>
          <w:left w:val="single" w:sz="4" w:space="4" w:color="auto"/>
          <w:bottom w:val="single" w:sz="4" w:space="1" w:color="auto"/>
          <w:right w:val="single" w:sz="4" w:space="4" w:color="auto"/>
        </w:pBdr>
      </w:pPr>
      <w:r w:rsidRPr="002C65AF">
        <w:tab/>
        <w:t>a.</w:t>
      </w:r>
      <w:r w:rsidRPr="002C65AF">
        <w:tab/>
        <w:t>A UE that has CHO configuration declares RLF in the source cell. The UE selects for connection re-establishment a configured candidate CHO target cell. The UE fails to re-establish to the selected CHO candidate cell.</w:t>
      </w:r>
    </w:p>
    <w:p w:rsidR="007B4943" w:rsidRPr="002C65AF" w:rsidRDefault="007B4943" w:rsidP="007B4943">
      <w:pPr>
        <w:pStyle w:val="Doc-text2"/>
        <w:pBdr>
          <w:top w:val="single" w:sz="4" w:space="1" w:color="auto"/>
          <w:left w:val="single" w:sz="4" w:space="4" w:color="auto"/>
          <w:bottom w:val="single" w:sz="4" w:space="1" w:color="auto"/>
          <w:right w:val="single" w:sz="4" w:space="4" w:color="auto"/>
        </w:pBdr>
      </w:pPr>
      <w:r w:rsidRPr="002C65AF">
        <w:tab/>
        <w:t>b.</w:t>
      </w:r>
      <w:r w:rsidRPr="002C65AF">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rsidR="007B4943" w:rsidRDefault="007B4943" w:rsidP="007B4943">
      <w:pPr>
        <w:pStyle w:val="Doc-text2"/>
        <w:pBdr>
          <w:top w:val="single" w:sz="4" w:space="1" w:color="auto"/>
          <w:left w:val="single" w:sz="4" w:space="4" w:color="auto"/>
          <w:bottom w:val="single" w:sz="4" w:space="1" w:color="auto"/>
          <w:right w:val="single" w:sz="4" w:space="4" w:color="auto"/>
        </w:pBdr>
      </w:pPr>
      <w:r w:rsidRPr="002C65AF">
        <w:tab/>
        <w:t>c.</w:t>
      </w:r>
      <w:r w:rsidRPr="002C65AF">
        <w:tab/>
        <w:t>A UE that has CHO configuration executes the normal HO towards the target cell and experiences a HO failure. The UE selects for connection re-establishment a configured candidate CHO target cell. The UE fails to re-establish to the selected CHO candidate cell</w:t>
      </w:r>
      <w:r>
        <w:t xml:space="preserve"> using CHO procedure</w:t>
      </w:r>
      <w:r w:rsidRPr="002C65AF">
        <w:t>.</w:t>
      </w:r>
    </w:p>
    <w:p w:rsidR="007B4943" w:rsidRDefault="007B4943" w:rsidP="007B4943">
      <w:pPr>
        <w:pStyle w:val="Doc-text2"/>
        <w:pBdr>
          <w:top w:val="single" w:sz="4" w:space="1" w:color="auto"/>
          <w:left w:val="single" w:sz="4" w:space="4" w:color="auto"/>
          <w:bottom w:val="single" w:sz="4" w:space="1" w:color="auto"/>
          <w:right w:val="single" w:sz="4" w:space="4" w:color="auto"/>
        </w:pBdr>
      </w:pPr>
      <w:r>
        <w:t>Note: other scenarios still can be discussed.</w:t>
      </w:r>
    </w:p>
    <w:p w:rsidR="007B4943" w:rsidRPr="002C65AF" w:rsidRDefault="007B4943" w:rsidP="007B4943">
      <w:pPr>
        <w:pStyle w:val="Doc-text2"/>
        <w:pBdr>
          <w:top w:val="single" w:sz="4" w:space="1" w:color="auto"/>
          <w:left w:val="single" w:sz="4" w:space="4" w:color="auto"/>
          <w:bottom w:val="single" w:sz="4" w:space="1" w:color="auto"/>
          <w:right w:val="single" w:sz="4" w:space="4" w:color="auto"/>
        </w:pBdr>
      </w:pPr>
    </w:p>
    <w:p w:rsidR="007B4943" w:rsidRPr="002C65AF" w:rsidRDefault="007B4943" w:rsidP="007B4943">
      <w:pPr>
        <w:pStyle w:val="Doc-text2"/>
      </w:pPr>
    </w:p>
    <w:p w:rsidR="007B4943" w:rsidRDefault="007B4943" w:rsidP="007B4943">
      <w:pPr>
        <w:pStyle w:val="Doc-text2"/>
      </w:pPr>
      <w:r w:rsidRPr="002C65AF">
        <w:tab/>
      </w:r>
    </w:p>
    <w:p w:rsidR="00B55DE9" w:rsidRPr="007B4943" w:rsidRDefault="00B55DE9" w:rsidP="007B4943">
      <w:pPr>
        <w:pStyle w:val="BodyText"/>
        <w:rPr>
          <w:rFonts w:eastAsiaTheme="minorEastAsia"/>
          <w:lang w:val="en-GB" w:eastAsia="zh-CN"/>
        </w:rPr>
      </w:pPr>
    </w:p>
    <w:p w:rsidR="00B55DE9" w:rsidRDefault="00B55DE9" w:rsidP="00B55DE9">
      <w:pPr>
        <w:numPr>
          <w:ilvl w:val="0"/>
          <w:numId w:val="5"/>
        </w:numPr>
        <w:rPr>
          <w:rFonts w:ascii="Arial" w:eastAsia="SimSun" w:hAnsi="Arial" w:cs="Arial"/>
          <w:b/>
          <w:bCs/>
          <w:kern w:val="32"/>
          <w:sz w:val="28"/>
          <w:szCs w:val="32"/>
          <w:lang w:eastAsia="zh-CN"/>
        </w:rPr>
      </w:pPr>
      <w:r w:rsidRPr="00B55DE9">
        <w:rPr>
          <w:rFonts w:ascii="Arial" w:eastAsia="SimSun" w:hAnsi="Arial" w:cs="Arial"/>
          <w:b/>
          <w:bCs/>
          <w:kern w:val="32"/>
          <w:sz w:val="28"/>
          <w:szCs w:val="32"/>
          <w:lang w:eastAsia="zh-CN"/>
        </w:rPr>
        <w:t>Discussion</w:t>
      </w:r>
    </w:p>
    <w:p w:rsidR="00D70D7E" w:rsidRPr="00CB589D" w:rsidRDefault="00CB589D" w:rsidP="00CB589D">
      <w:pPr>
        <w:pStyle w:val="BodyText"/>
        <w:rPr>
          <w:rFonts w:eastAsiaTheme="minorEastAsia"/>
          <w:lang w:val="en-GB" w:eastAsia="zh-CN"/>
        </w:rPr>
      </w:pPr>
      <w:r>
        <w:rPr>
          <w:rFonts w:eastAsiaTheme="minorEastAsia"/>
          <w:lang w:eastAsia="zh-CN"/>
        </w:rPr>
        <w:t>In last meeting, RAN2 agreed to have the foll</w:t>
      </w:r>
      <w:r w:rsidR="00FE58BF">
        <w:rPr>
          <w:rFonts w:eastAsiaTheme="minorEastAsia"/>
          <w:lang w:eastAsia="zh-CN"/>
        </w:rPr>
        <w:t>owing successive CHO failure scenario</w:t>
      </w:r>
      <w:r>
        <w:rPr>
          <w:rFonts w:eastAsiaTheme="minorEastAsia"/>
          <w:lang w:eastAsia="zh-CN"/>
        </w:rPr>
        <w:t>– “</w:t>
      </w:r>
      <w:r w:rsidRPr="00CB589D">
        <w:rPr>
          <w:rFonts w:eastAsiaTheme="minorEastAsia"/>
          <w:lang w:eastAsia="zh-CN"/>
        </w:rPr>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r>
        <w:rPr>
          <w:rFonts w:eastAsiaTheme="minorEastAsia"/>
          <w:lang w:eastAsia="zh-CN"/>
        </w:rPr>
        <w:t>”</w:t>
      </w:r>
      <w:r w:rsidR="007D2C23">
        <w:rPr>
          <w:rFonts w:eastAsiaTheme="minorEastAsia"/>
          <w:lang w:eastAsia="zh-CN"/>
        </w:rPr>
        <w:t xml:space="preserve">. </w:t>
      </w:r>
      <w:r w:rsidR="00FE58BF">
        <w:rPr>
          <w:rFonts w:eastAsiaTheme="minorEastAsia"/>
          <w:lang w:val="en-GB" w:eastAsia="zh-CN"/>
        </w:rPr>
        <w:t>However, we think this scenario is not needed.</w:t>
      </w:r>
    </w:p>
    <w:p w:rsidR="00D70D7E" w:rsidRPr="00FE58BF" w:rsidRDefault="00CB589D" w:rsidP="00D70D7E">
      <w:pPr>
        <w:pStyle w:val="BodyText"/>
      </w:pPr>
      <w:r>
        <w:rPr>
          <w:rFonts w:eastAsiaTheme="minorEastAsia"/>
          <w:lang w:eastAsia="zh-CN"/>
        </w:rPr>
        <w:t xml:space="preserve">As specified in </w:t>
      </w:r>
      <w:r w:rsidR="00FE58BF">
        <w:rPr>
          <w:rFonts w:eastAsiaTheme="minorEastAsia"/>
          <w:lang w:eastAsia="zh-CN"/>
        </w:rPr>
        <w:t xml:space="preserve">5.3.5.3 of </w:t>
      </w:r>
      <w:r w:rsidR="00D70D7E">
        <w:rPr>
          <w:rFonts w:eastAsiaTheme="minorEastAsia"/>
          <w:lang w:eastAsia="zh-CN"/>
        </w:rPr>
        <w:t>TS 38.331, a UE release</w:t>
      </w:r>
      <w:r>
        <w:rPr>
          <w:rFonts w:eastAsiaTheme="minorEastAsia"/>
          <w:lang w:eastAsia="zh-CN"/>
        </w:rPr>
        <w:t>s</w:t>
      </w:r>
      <w:r w:rsidR="00D70D7E">
        <w:rPr>
          <w:rFonts w:eastAsiaTheme="minorEastAsia"/>
          <w:lang w:eastAsia="zh-CN"/>
        </w:rPr>
        <w:t xml:space="preserve"> </w:t>
      </w:r>
      <w:r w:rsidR="00D70D7E" w:rsidRPr="00D70D7E">
        <w:rPr>
          <w:i/>
          <w:iCs/>
        </w:rPr>
        <w:t>VarConditionalReconfig</w:t>
      </w:r>
      <w:r w:rsidR="00D70D7E">
        <w:rPr>
          <w:rFonts w:eastAsiaTheme="minorEastAsia"/>
          <w:lang w:eastAsia="zh-CN"/>
        </w:rPr>
        <w:t xml:space="preserve"> </w:t>
      </w:r>
      <w:r>
        <w:rPr>
          <w:rFonts w:eastAsiaTheme="minorEastAsia"/>
          <w:lang w:eastAsia="zh-CN"/>
        </w:rPr>
        <w:t>after it receives</w:t>
      </w:r>
      <w:r w:rsidR="00D70D7E">
        <w:rPr>
          <w:rFonts w:eastAsiaTheme="minorEastAsia"/>
          <w:lang w:eastAsia="zh-CN"/>
        </w:rPr>
        <w:t xml:space="preserve"> </w:t>
      </w:r>
      <w:r w:rsidR="00FE58BF">
        <w:rPr>
          <w:rFonts w:eastAsiaTheme="minorEastAsia"/>
          <w:lang w:eastAsia="zh-CN"/>
        </w:rPr>
        <w:t>a</w:t>
      </w:r>
      <w:r w:rsidR="00D70D7E">
        <w:rPr>
          <w:rFonts w:eastAsiaTheme="minorEastAsia"/>
          <w:lang w:eastAsia="zh-CN"/>
        </w:rPr>
        <w:t xml:space="preserve"> </w:t>
      </w:r>
      <w:r w:rsidR="00FE58BF" w:rsidRPr="00FE58BF">
        <w:rPr>
          <w:i/>
        </w:rPr>
        <w:t xml:space="preserve">reconfigurationWithSync </w:t>
      </w:r>
      <w:r w:rsidR="00FE58BF">
        <w:t xml:space="preserve">and the </w:t>
      </w:r>
      <w:r w:rsidR="00FE58BF" w:rsidRPr="00FE58BF">
        <w:rPr>
          <w:i/>
        </w:rPr>
        <w:t xml:space="preserve">reconfigurationWithSync </w:t>
      </w:r>
      <w:r w:rsidR="00FE58BF">
        <w:t xml:space="preserve">was included in </w:t>
      </w:r>
      <w:r w:rsidR="00FE58BF" w:rsidRPr="00FE58BF">
        <w:rPr>
          <w:i/>
        </w:rPr>
        <w:t xml:space="preserve">spCellConfig </w:t>
      </w:r>
      <w:r w:rsidR="00FE58BF" w:rsidRPr="007D2C23">
        <w:t>of an MCG.</w:t>
      </w:r>
      <w:r w:rsidR="007D2C23">
        <w:t xml:space="preserve"> </w:t>
      </w:r>
      <w:r w:rsidR="007D2C23">
        <w:rPr>
          <w:rFonts w:eastAsiaTheme="minorEastAsia"/>
          <w:lang w:eastAsia="zh-CN"/>
        </w:rPr>
        <w:t>After a UE receives the normal HO command, it releases the CHO configurations and is unable to use the CHO configuration in the connection re-establishment procedure. This means the scenario c is not exist in current standard. Threrfore, w</w:t>
      </w:r>
      <w:r w:rsidR="00FE58BF">
        <w:rPr>
          <w:rFonts w:eastAsiaTheme="minorEastAsia"/>
          <w:lang w:eastAsia="zh-CN"/>
        </w:rPr>
        <w:t xml:space="preserve">e propose RAN2 to remove </w:t>
      </w:r>
      <w:r w:rsidR="007D2C23">
        <w:rPr>
          <w:rFonts w:eastAsiaTheme="minorEastAsia"/>
          <w:lang w:eastAsia="zh-CN"/>
        </w:rPr>
        <w:t>the scenario c.</w:t>
      </w:r>
    </w:p>
    <w:p w:rsidR="00FE58BF" w:rsidRPr="00FE58BF" w:rsidRDefault="00FE58BF" w:rsidP="00FE58BF">
      <w:pPr>
        <w:pStyle w:val="Heading4"/>
        <w:rPr>
          <w:i/>
        </w:rPr>
      </w:pPr>
      <w:bookmarkStart w:id="8" w:name="_Toc60776760"/>
      <w:bookmarkStart w:id="9" w:name="_Toc60867541"/>
      <w:r w:rsidRPr="00FE58BF">
        <w:rPr>
          <w:i/>
        </w:rPr>
        <w:t>5.3.5.3</w:t>
      </w:r>
      <w:r w:rsidRPr="00FE58BF">
        <w:rPr>
          <w:i/>
        </w:rPr>
        <w:tab/>
        <w:t>Reception of an RRCReconfiguration by the UE</w:t>
      </w:r>
      <w:bookmarkEnd w:id="8"/>
      <w:bookmarkEnd w:id="9"/>
    </w:p>
    <w:p w:rsidR="00FE58BF" w:rsidRPr="00FE58BF" w:rsidRDefault="00FE58BF" w:rsidP="00FE58BF">
      <w:pPr>
        <w:rPr>
          <w:i/>
        </w:rPr>
      </w:pPr>
      <w:r w:rsidRPr="00FE58BF">
        <w:rPr>
          <w:i/>
        </w:rPr>
        <w:t>The UE shall perform the following actions upon reception of the RRCReconfiguration, or upon execution of the conditional reconfiguration (CHO or CPC):</w:t>
      </w:r>
    </w:p>
    <w:p w:rsidR="00FE58BF" w:rsidRPr="00FE58BF" w:rsidRDefault="00FE58BF" w:rsidP="00D70D7E">
      <w:pPr>
        <w:pStyle w:val="BodyText"/>
        <w:rPr>
          <w:rFonts w:eastAsiaTheme="minorEastAsia"/>
          <w:i/>
          <w:lang w:eastAsia="zh-CN"/>
        </w:rPr>
      </w:pPr>
      <w:r>
        <w:rPr>
          <w:rFonts w:eastAsiaTheme="minorEastAsia"/>
          <w:i/>
          <w:lang w:eastAsia="zh-CN"/>
        </w:rPr>
        <w:t>&lt;Omitted not related parts&gt;</w:t>
      </w:r>
    </w:p>
    <w:p w:rsidR="00FE58BF" w:rsidRPr="00FE58BF" w:rsidRDefault="00FE58BF" w:rsidP="00FE58BF">
      <w:pPr>
        <w:pStyle w:val="B1"/>
        <w:rPr>
          <w:i/>
        </w:rPr>
      </w:pPr>
      <w:r w:rsidRPr="00FE58BF">
        <w:rPr>
          <w:i/>
        </w:rPr>
        <w:t>1&gt;</w:t>
      </w:r>
      <w:r w:rsidRPr="00FE58BF">
        <w:rPr>
          <w:i/>
        </w:rPr>
        <w:tab/>
        <w:t>if reconfigurationWithSync was included in spCellConfig of an MCG or SCG, and when MAC of an NR cell group successfully completes a Random Access procedure triggered above:</w:t>
      </w:r>
    </w:p>
    <w:p w:rsidR="00FE58BF" w:rsidRPr="00FE58BF" w:rsidRDefault="00FE58BF" w:rsidP="00FE58BF">
      <w:pPr>
        <w:pStyle w:val="BodyText"/>
        <w:rPr>
          <w:rFonts w:eastAsiaTheme="minorEastAsia"/>
          <w:i/>
          <w:lang w:eastAsia="zh-CN"/>
        </w:rPr>
      </w:pPr>
      <w:r>
        <w:rPr>
          <w:rFonts w:eastAsiaTheme="minorEastAsia"/>
          <w:i/>
          <w:lang w:eastAsia="zh-CN"/>
        </w:rPr>
        <w:t>&lt;Omitted not related parts&gt;</w:t>
      </w:r>
    </w:p>
    <w:p w:rsidR="00FE58BF" w:rsidRPr="00FE58BF" w:rsidRDefault="00FE58BF" w:rsidP="00FE58BF">
      <w:pPr>
        <w:pStyle w:val="B2"/>
        <w:rPr>
          <w:i/>
        </w:rPr>
      </w:pPr>
      <w:r w:rsidRPr="00FE58BF">
        <w:rPr>
          <w:i/>
        </w:rPr>
        <w:t>2&gt;</w:t>
      </w:r>
      <w:r w:rsidRPr="00FE58BF">
        <w:rPr>
          <w:i/>
        </w:rPr>
        <w:tab/>
      </w:r>
      <w:r w:rsidRPr="001A56A0">
        <w:rPr>
          <w:i/>
          <w:highlight w:val="yellow"/>
        </w:rPr>
        <w:t>if the reconfigurationWithSync was included in spCellConfig of an MCG</w:t>
      </w:r>
      <w:r w:rsidRPr="00FE58BF">
        <w:rPr>
          <w:i/>
        </w:rPr>
        <w:t>; or:</w:t>
      </w:r>
    </w:p>
    <w:p w:rsidR="00FE58BF" w:rsidRPr="00FE58BF" w:rsidRDefault="00FE58BF" w:rsidP="00FE58BF">
      <w:pPr>
        <w:pStyle w:val="B2"/>
        <w:rPr>
          <w:i/>
        </w:rPr>
      </w:pPr>
      <w:r w:rsidRPr="00FE58BF">
        <w:rPr>
          <w:i/>
        </w:rPr>
        <w:lastRenderedPageBreak/>
        <w:t>2&gt;</w:t>
      </w:r>
      <w:r w:rsidRPr="00FE58BF">
        <w:rPr>
          <w:i/>
        </w:rPr>
        <w:tab/>
        <w:t>if the reconfigurationWithSync was included in spCellConfig of an SCG and the CPC was configured</w:t>
      </w:r>
    </w:p>
    <w:p w:rsidR="00FE58BF" w:rsidRPr="00FE58BF" w:rsidRDefault="00FE58BF" w:rsidP="00FE58BF">
      <w:pPr>
        <w:pStyle w:val="B3"/>
      </w:pPr>
      <w:r w:rsidRPr="00FE58BF">
        <w:rPr>
          <w:i/>
          <w:highlight w:val="yellow"/>
        </w:rPr>
        <w:t>3&gt;</w:t>
      </w:r>
      <w:r w:rsidRPr="00FE58BF">
        <w:rPr>
          <w:i/>
          <w:highlight w:val="yellow"/>
        </w:rPr>
        <w:tab/>
        <w:t>remove all the entries within VarConditionalReconfig, if any;</w:t>
      </w:r>
    </w:p>
    <w:p w:rsidR="00CB589D" w:rsidRPr="00FE58BF" w:rsidRDefault="00CB589D" w:rsidP="00D70D7E">
      <w:pPr>
        <w:pStyle w:val="BodyText"/>
        <w:rPr>
          <w:rFonts w:eastAsiaTheme="minorEastAsia"/>
          <w:lang w:eastAsia="zh-CN"/>
        </w:rPr>
      </w:pPr>
    </w:p>
    <w:p w:rsidR="00D70D7E" w:rsidRPr="00CB589D" w:rsidRDefault="00D70D7E" w:rsidP="00D70D7E">
      <w:pPr>
        <w:pStyle w:val="BodyText"/>
        <w:rPr>
          <w:rFonts w:eastAsiaTheme="minorEastAsia"/>
          <w:b/>
          <w:lang w:eastAsia="zh-CN"/>
        </w:rPr>
      </w:pPr>
      <w:r w:rsidRPr="00CB589D">
        <w:rPr>
          <w:rFonts w:eastAsiaTheme="minorEastAsia"/>
          <w:b/>
          <w:lang w:eastAsia="zh-CN"/>
        </w:rPr>
        <w:t>Proposal:</w:t>
      </w:r>
      <w:r w:rsidR="00CB589D">
        <w:rPr>
          <w:rFonts w:eastAsiaTheme="minorEastAsia"/>
          <w:b/>
          <w:lang w:eastAsia="zh-CN"/>
        </w:rPr>
        <w:t xml:space="preserve"> R</w:t>
      </w:r>
      <w:r w:rsidRPr="00CB589D">
        <w:rPr>
          <w:rFonts w:eastAsiaTheme="minorEastAsia"/>
          <w:b/>
          <w:lang w:eastAsia="zh-CN"/>
        </w:rPr>
        <w:t xml:space="preserve">emove the scenarios c </w:t>
      </w:r>
      <w:r w:rsidR="00CB589D" w:rsidRPr="00CB589D">
        <w:rPr>
          <w:rFonts w:eastAsiaTheme="minorEastAsia"/>
          <w:b/>
          <w:lang w:eastAsia="zh-CN"/>
        </w:rPr>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rsidR="00D70D7E" w:rsidRDefault="00D70D7E" w:rsidP="00AF4E53">
      <w:pPr>
        <w:pStyle w:val="BodyText"/>
        <w:rPr>
          <w:rFonts w:eastAsiaTheme="minorEastAsia"/>
          <w:lang w:eastAsia="zh-CN"/>
        </w:rPr>
      </w:pPr>
    </w:p>
    <w:p w:rsidR="000A6892" w:rsidRPr="00BB3178" w:rsidRDefault="000A6892" w:rsidP="00BB3178">
      <w:pPr>
        <w:pStyle w:val="Heading1"/>
        <w:numPr>
          <w:ilvl w:val="0"/>
          <w:numId w:val="5"/>
        </w:numPr>
        <w:tabs>
          <w:tab w:val="num" w:pos="1418"/>
        </w:tabs>
        <w:jc w:val="both"/>
        <w:rPr>
          <w:szCs w:val="28"/>
        </w:rPr>
      </w:pPr>
      <w:r>
        <w:rPr>
          <w:szCs w:val="28"/>
        </w:rPr>
        <w:t>Conclusion</w:t>
      </w:r>
    </w:p>
    <w:p w:rsidR="000A6892" w:rsidRDefault="000A6892" w:rsidP="000A6892">
      <w:pPr>
        <w:pStyle w:val="BodyText"/>
        <w:spacing w:beforeLines="50" w:before="120"/>
        <w:rPr>
          <w:rFonts w:eastAsiaTheme="minorEastAsia"/>
          <w:szCs w:val="22"/>
          <w:lang w:eastAsia="zh-CN"/>
        </w:rPr>
      </w:pPr>
      <w:r>
        <w:rPr>
          <w:szCs w:val="22"/>
          <w:lang w:eastAsia="ko-KR"/>
        </w:rPr>
        <w:t>In conclusion, we propose the followings:</w:t>
      </w:r>
    </w:p>
    <w:p w:rsidR="00CB589D" w:rsidRPr="00CB589D" w:rsidRDefault="00CB589D" w:rsidP="001A56A0">
      <w:pPr>
        <w:pStyle w:val="BodyText"/>
        <w:rPr>
          <w:rFonts w:eastAsiaTheme="minorEastAsia"/>
          <w:b/>
          <w:lang w:eastAsia="zh-CN"/>
        </w:rPr>
      </w:pPr>
      <w:r w:rsidRPr="00CB589D">
        <w:rPr>
          <w:rFonts w:eastAsiaTheme="minorEastAsia"/>
          <w:b/>
          <w:lang w:eastAsia="zh-CN"/>
        </w:rPr>
        <w:t>Proposal:</w:t>
      </w:r>
      <w:r>
        <w:rPr>
          <w:rFonts w:eastAsiaTheme="minorEastAsia"/>
          <w:b/>
          <w:lang w:eastAsia="zh-CN"/>
        </w:rPr>
        <w:t xml:space="preserve"> R</w:t>
      </w:r>
      <w:r w:rsidRPr="00CB589D">
        <w:rPr>
          <w:rFonts w:eastAsiaTheme="minorEastAsia"/>
          <w:b/>
          <w:lang w:eastAsia="zh-CN"/>
        </w:rPr>
        <w:t>emove the scenarios c “A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rsidR="000A6892" w:rsidRDefault="000A6892" w:rsidP="00FE05B8">
      <w:pPr>
        <w:pStyle w:val="Heading1"/>
        <w:numPr>
          <w:ilvl w:val="0"/>
          <w:numId w:val="5"/>
        </w:numPr>
        <w:tabs>
          <w:tab w:val="num" w:pos="1418"/>
        </w:tabs>
        <w:jc w:val="both"/>
        <w:rPr>
          <w:rFonts w:eastAsiaTheme="minorEastAsia"/>
          <w:szCs w:val="28"/>
        </w:rPr>
      </w:pPr>
      <w:r>
        <w:rPr>
          <w:szCs w:val="28"/>
        </w:rPr>
        <w:t>References</w:t>
      </w:r>
    </w:p>
    <w:p w:rsidR="004C5553"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w:t>
      </w:r>
      <w:r w:rsidRPr="00DB464E">
        <w:rPr>
          <w:rFonts w:ascii="Times New Roman" w:eastAsiaTheme="minorEastAsia" w:hAnsi="Times New Roman"/>
          <w:szCs w:val="24"/>
          <w:lang w:eastAsia="zh-CN"/>
        </w:rPr>
        <w:t xml:space="preserve"> </w:t>
      </w:r>
      <w:r w:rsidR="007B4943">
        <w:rPr>
          <w:rFonts w:ascii="Times New Roman" w:eastAsiaTheme="minorEastAsia" w:hAnsi="Times New Roman"/>
          <w:szCs w:val="24"/>
          <w:lang w:eastAsia="zh-CN"/>
        </w:rPr>
        <w:t>RAN2-112-e SONMDT Notes HuNan 2020-11-13-140</w:t>
      </w:r>
      <w:r w:rsidR="00A61EB3" w:rsidRPr="00A61EB3">
        <w:rPr>
          <w:rFonts w:ascii="Times New Roman" w:eastAsiaTheme="minorEastAsia" w:hAnsi="Times New Roman"/>
          <w:szCs w:val="24"/>
          <w:lang w:eastAsia="zh-CN"/>
        </w:rPr>
        <w:t>0 UTC</w:t>
      </w:r>
    </w:p>
    <w:p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968" w:rsidRDefault="009A4968">
      <w:r>
        <w:separator/>
      </w:r>
    </w:p>
  </w:endnote>
  <w:endnote w:type="continuationSeparator" w:id="0">
    <w:p w:rsidR="009A4968" w:rsidRDefault="009A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FB4" w:rsidRDefault="00E12FB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2FB4" w:rsidRDefault="00E12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FB4" w:rsidRDefault="00E12FB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05EC">
      <w:rPr>
        <w:rStyle w:val="PageNumber"/>
        <w:noProof/>
      </w:rPr>
      <w:t>1</w:t>
    </w:r>
    <w:r>
      <w:rPr>
        <w:rStyle w:val="PageNumber"/>
      </w:rPr>
      <w:fldChar w:fldCharType="end"/>
    </w:r>
  </w:p>
  <w:p w:rsidR="00E12FB4" w:rsidRPr="00EB7EB9" w:rsidRDefault="00E12FB4"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968" w:rsidRDefault="009A4968">
      <w:r>
        <w:separator/>
      </w:r>
    </w:p>
  </w:footnote>
  <w:footnote w:type="continuationSeparator" w:id="0">
    <w:p w:rsidR="009A4968" w:rsidRDefault="009A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FB4" w:rsidRDefault="00E12FB4"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EDE361B"/>
    <w:multiLevelType w:val="hybridMultilevel"/>
    <w:tmpl w:val="96082B50"/>
    <w:lvl w:ilvl="0" w:tplc="BA106BCA">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8"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51874EB"/>
    <w:multiLevelType w:val="hybridMultilevel"/>
    <w:tmpl w:val="BDDADEBA"/>
    <w:lvl w:ilvl="0" w:tplc="543864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F86CEB"/>
    <w:multiLevelType w:val="hybridMultilevel"/>
    <w:tmpl w:val="BBC2B790"/>
    <w:lvl w:ilvl="0" w:tplc="449EC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82134"/>
    <w:multiLevelType w:val="hybridMultilevel"/>
    <w:tmpl w:val="BBC2B790"/>
    <w:lvl w:ilvl="0" w:tplc="449EC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5746701"/>
    <w:multiLevelType w:val="hybridMultilevel"/>
    <w:tmpl w:val="A4D8642C"/>
    <w:lvl w:ilvl="0" w:tplc="58C054E2">
      <w:start w:val="1"/>
      <w:numFmt w:val="bullet"/>
      <w:lvlText w:val=""/>
      <w:lvlJc w:val="left"/>
      <w:pPr>
        <w:tabs>
          <w:tab w:val="num" w:pos="720"/>
        </w:tabs>
        <w:ind w:left="720" w:hanging="360"/>
      </w:pPr>
      <w:rPr>
        <w:rFonts w:ascii="Wingdings" w:hAnsi="Wingdings" w:hint="default"/>
      </w:rPr>
    </w:lvl>
    <w:lvl w:ilvl="1" w:tplc="D2F244DC">
      <w:start w:val="1"/>
      <w:numFmt w:val="bullet"/>
      <w:lvlText w:val=""/>
      <w:lvlJc w:val="left"/>
      <w:pPr>
        <w:tabs>
          <w:tab w:val="num" w:pos="1440"/>
        </w:tabs>
        <w:ind w:left="1440" w:hanging="360"/>
      </w:pPr>
      <w:rPr>
        <w:rFonts w:ascii="Wingdings" w:hAnsi="Wingdings" w:hint="default"/>
      </w:rPr>
    </w:lvl>
    <w:lvl w:ilvl="2" w:tplc="21BEFDCC" w:tentative="1">
      <w:start w:val="1"/>
      <w:numFmt w:val="bullet"/>
      <w:lvlText w:val=""/>
      <w:lvlJc w:val="left"/>
      <w:pPr>
        <w:tabs>
          <w:tab w:val="num" w:pos="2160"/>
        </w:tabs>
        <w:ind w:left="2160" w:hanging="360"/>
      </w:pPr>
      <w:rPr>
        <w:rFonts w:ascii="Wingdings" w:hAnsi="Wingdings" w:hint="default"/>
      </w:rPr>
    </w:lvl>
    <w:lvl w:ilvl="3" w:tplc="0BF2B3D4" w:tentative="1">
      <w:start w:val="1"/>
      <w:numFmt w:val="bullet"/>
      <w:lvlText w:val=""/>
      <w:lvlJc w:val="left"/>
      <w:pPr>
        <w:tabs>
          <w:tab w:val="num" w:pos="2880"/>
        </w:tabs>
        <w:ind w:left="2880" w:hanging="360"/>
      </w:pPr>
      <w:rPr>
        <w:rFonts w:ascii="Wingdings" w:hAnsi="Wingdings" w:hint="default"/>
      </w:rPr>
    </w:lvl>
    <w:lvl w:ilvl="4" w:tplc="4B64CB50" w:tentative="1">
      <w:start w:val="1"/>
      <w:numFmt w:val="bullet"/>
      <w:lvlText w:val=""/>
      <w:lvlJc w:val="left"/>
      <w:pPr>
        <w:tabs>
          <w:tab w:val="num" w:pos="3600"/>
        </w:tabs>
        <w:ind w:left="3600" w:hanging="360"/>
      </w:pPr>
      <w:rPr>
        <w:rFonts w:ascii="Wingdings" w:hAnsi="Wingdings" w:hint="default"/>
      </w:rPr>
    </w:lvl>
    <w:lvl w:ilvl="5" w:tplc="6D5A7358" w:tentative="1">
      <w:start w:val="1"/>
      <w:numFmt w:val="bullet"/>
      <w:lvlText w:val=""/>
      <w:lvlJc w:val="left"/>
      <w:pPr>
        <w:tabs>
          <w:tab w:val="num" w:pos="4320"/>
        </w:tabs>
        <w:ind w:left="4320" w:hanging="360"/>
      </w:pPr>
      <w:rPr>
        <w:rFonts w:ascii="Wingdings" w:hAnsi="Wingdings" w:hint="default"/>
      </w:rPr>
    </w:lvl>
    <w:lvl w:ilvl="6" w:tplc="81C4A97A" w:tentative="1">
      <w:start w:val="1"/>
      <w:numFmt w:val="bullet"/>
      <w:lvlText w:val=""/>
      <w:lvlJc w:val="left"/>
      <w:pPr>
        <w:tabs>
          <w:tab w:val="num" w:pos="5040"/>
        </w:tabs>
        <w:ind w:left="5040" w:hanging="360"/>
      </w:pPr>
      <w:rPr>
        <w:rFonts w:ascii="Wingdings" w:hAnsi="Wingdings" w:hint="default"/>
      </w:rPr>
    </w:lvl>
    <w:lvl w:ilvl="7" w:tplc="5512091C" w:tentative="1">
      <w:start w:val="1"/>
      <w:numFmt w:val="bullet"/>
      <w:lvlText w:val=""/>
      <w:lvlJc w:val="left"/>
      <w:pPr>
        <w:tabs>
          <w:tab w:val="num" w:pos="5760"/>
        </w:tabs>
        <w:ind w:left="5760" w:hanging="360"/>
      </w:pPr>
      <w:rPr>
        <w:rFonts w:ascii="Wingdings" w:hAnsi="Wingdings" w:hint="default"/>
      </w:rPr>
    </w:lvl>
    <w:lvl w:ilvl="8" w:tplc="D41A7FB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1"/>
  </w:num>
  <w:num w:numId="3">
    <w:abstractNumId w:val="19"/>
  </w:num>
  <w:num w:numId="4">
    <w:abstractNumId w:val="14"/>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8"/>
  </w:num>
  <w:num w:numId="8">
    <w:abstractNumId w:val="20"/>
  </w:num>
  <w:num w:numId="9">
    <w:abstractNumId w:val="23"/>
  </w:num>
  <w:num w:numId="10">
    <w:abstractNumId w:val="23"/>
  </w:num>
  <w:num w:numId="11">
    <w:abstractNumId w:val="23"/>
  </w:num>
  <w:num w:numId="12">
    <w:abstractNumId w:val="23"/>
  </w:num>
  <w:num w:numId="13">
    <w:abstractNumId w:val="23"/>
  </w:num>
  <w:num w:numId="14">
    <w:abstractNumId w:val="4"/>
  </w:num>
  <w:num w:numId="15">
    <w:abstractNumId w:val="24"/>
  </w:num>
  <w:num w:numId="16">
    <w:abstractNumId w:val="23"/>
  </w:num>
  <w:num w:numId="17">
    <w:abstractNumId w:val="23"/>
  </w:num>
  <w:num w:numId="18">
    <w:abstractNumId w:val="23"/>
  </w:num>
  <w:num w:numId="19">
    <w:abstractNumId w:val="23"/>
  </w:num>
  <w:num w:numId="20">
    <w:abstractNumId w:val="9"/>
  </w:num>
  <w:num w:numId="21">
    <w:abstractNumId w:val="12"/>
  </w:num>
  <w:num w:numId="22">
    <w:abstractNumId w:val="0"/>
  </w:num>
  <w:num w:numId="23">
    <w:abstractNumId w:val="2"/>
  </w:num>
  <w:num w:numId="24">
    <w:abstractNumId w:val="23"/>
  </w:num>
  <w:num w:numId="25">
    <w:abstractNumId w:val="11"/>
  </w:num>
  <w:num w:numId="26">
    <w:abstractNumId w:val="22"/>
  </w:num>
  <w:num w:numId="27">
    <w:abstractNumId w:val="1"/>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7"/>
  </w:num>
  <w:num w:numId="32">
    <w:abstractNumId w:val="3"/>
  </w:num>
  <w:num w:numId="33">
    <w:abstractNumId w:val="5"/>
  </w:num>
  <w:num w:numId="34">
    <w:abstractNumId w:val="13"/>
  </w:num>
  <w:num w:numId="35">
    <w:abstractNumId w:val="6"/>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5C5C"/>
    <w:rsid w:val="000662CD"/>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D82"/>
    <w:rsid w:val="00097ECB"/>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3A4"/>
    <w:rsid w:val="000C5654"/>
    <w:rsid w:val="000C5D1F"/>
    <w:rsid w:val="000C61EC"/>
    <w:rsid w:val="000C6260"/>
    <w:rsid w:val="000C633B"/>
    <w:rsid w:val="000C6700"/>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DDC"/>
    <w:rsid w:val="00147EC8"/>
    <w:rsid w:val="001509C6"/>
    <w:rsid w:val="00150EDD"/>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20AA"/>
    <w:rsid w:val="001824D3"/>
    <w:rsid w:val="0018252A"/>
    <w:rsid w:val="001826BA"/>
    <w:rsid w:val="0018373A"/>
    <w:rsid w:val="00183DA9"/>
    <w:rsid w:val="00184CF1"/>
    <w:rsid w:val="00184E66"/>
    <w:rsid w:val="00185006"/>
    <w:rsid w:val="0018500B"/>
    <w:rsid w:val="001857E3"/>
    <w:rsid w:val="001860A7"/>
    <w:rsid w:val="00186995"/>
    <w:rsid w:val="00186D40"/>
    <w:rsid w:val="00186E2D"/>
    <w:rsid w:val="0018753B"/>
    <w:rsid w:val="001878FF"/>
    <w:rsid w:val="00187E0E"/>
    <w:rsid w:val="00190794"/>
    <w:rsid w:val="001909BF"/>
    <w:rsid w:val="001911EA"/>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C3D"/>
    <w:rsid w:val="001B5609"/>
    <w:rsid w:val="001B5F42"/>
    <w:rsid w:val="001B6049"/>
    <w:rsid w:val="001B608A"/>
    <w:rsid w:val="001B6667"/>
    <w:rsid w:val="001B689A"/>
    <w:rsid w:val="001B7232"/>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56F"/>
    <w:rsid w:val="001E3E26"/>
    <w:rsid w:val="001E4093"/>
    <w:rsid w:val="001E44AD"/>
    <w:rsid w:val="001E4CE3"/>
    <w:rsid w:val="001E4EE7"/>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A38"/>
    <w:rsid w:val="00200D83"/>
    <w:rsid w:val="00201135"/>
    <w:rsid w:val="002018C5"/>
    <w:rsid w:val="00201CB3"/>
    <w:rsid w:val="00202CE1"/>
    <w:rsid w:val="002033FD"/>
    <w:rsid w:val="002034F9"/>
    <w:rsid w:val="0020391E"/>
    <w:rsid w:val="0020399E"/>
    <w:rsid w:val="00203A84"/>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DC"/>
    <w:rsid w:val="002E0A94"/>
    <w:rsid w:val="002E0F47"/>
    <w:rsid w:val="002E1672"/>
    <w:rsid w:val="002E1A46"/>
    <w:rsid w:val="002E21D0"/>
    <w:rsid w:val="002E26BF"/>
    <w:rsid w:val="002E3647"/>
    <w:rsid w:val="002E4B1D"/>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5"/>
    <w:rsid w:val="0048488C"/>
    <w:rsid w:val="00484DFD"/>
    <w:rsid w:val="00484F82"/>
    <w:rsid w:val="004851D7"/>
    <w:rsid w:val="00486726"/>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3C73"/>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27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50D3"/>
    <w:rsid w:val="007C62B9"/>
    <w:rsid w:val="007C683D"/>
    <w:rsid w:val="007C69AD"/>
    <w:rsid w:val="007C6A2D"/>
    <w:rsid w:val="007C7305"/>
    <w:rsid w:val="007C7725"/>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18F0"/>
    <w:rsid w:val="00821F54"/>
    <w:rsid w:val="008220C0"/>
    <w:rsid w:val="00822489"/>
    <w:rsid w:val="00822535"/>
    <w:rsid w:val="00822571"/>
    <w:rsid w:val="00822B25"/>
    <w:rsid w:val="00823054"/>
    <w:rsid w:val="00823430"/>
    <w:rsid w:val="00823562"/>
    <w:rsid w:val="00823B1D"/>
    <w:rsid w:val="00823B36"/>
    <w:rsid w:val="00824719"/>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5D83"/>
    <w:rsid w:val="00835F54"/>
    <w:rsid w:val="00835F58"/>
    <w:rsid w:val="0083633D"/>
    <w:rsid w:val="0083780C"/>
    <w:rsid w:val="008411C8"/>
    <w:rsid w:val="00842454"/>
    <w:rsid w:val="008426A8"/>
    <w:rsid w:val="00842A9C"/>
    <w:rsid w:val="00842FB0"/>
    <w:rsid w:val="00843BF9"/>
    <w:rsid w:val="00843F3F"/>
    <w:rsid w:val="00844251"/>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B75"/>
    <w:rsid w:val="00893CEC"/>
    <w:rsid w:val="008941AE"/>
    <w:rsid w:val="00894A08"/>
    <w:rsid w:val="00894E63"/>
    <w:rsid w:val="0089555C"/>
    <w:rsid w:val="008955F2"/>
    <w:rsid w:val="00896460"/>
    <w:rsid w:val="00896A08"/>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41"/>
    <w:rsid w:val="008F289B"/>
    <w:rsid w:val="008F30F4"/>
    <w:rsid w:val="008F3CF7"/>
    <w:rsid w:val="008F5029"/>
    <w:rsid w:val="008F5459"/>
    <w:rsid w:val="008F5E72"/>
    <w:rsid w:val="008F61C3"/>
    <w:rsid w:val="008F6332"/>
    <w:rsid w:val="008F663B"/>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D0232"/>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AE7"/>
    <w:rsid w:val="00B60F87"/>
    <w:rsid w:val="00B611CE"/>
    <w:rsid w:val="00B614AD"/>
    <w:rsid w:val="00B61872"/>
    <w:rsid w:val="00B6303E"/>
    <w:rsid w:val="00B639DE"/>
    <w:rsid w:val="00B63B1B"/>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5DE6"/>
    <w:rsid w:val="00CA692B"/>
    <w:rsid w:val="00CA6D3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90F"/>
    <w:rsid w:val="00D25F91"/>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AA3"/>
    <w:rsid w:val="00D80CF4"/>
    <w:rsid w:val="00D8111B"/>
    <w:rsid w:val="00D81519"/>
    <w:rsid w:val="00D818F8"/>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7CF"/>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8D89F"/>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32"/>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7B851-7BA8-4E39-BCCC-767F59F6D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Google, Inc.</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TEMING CHEN</cp:lastModifiedBy>
  <cp:revision>13</cp:revision>
  <cp:lastPrinted>2007-08-29T03:45:00Z</cp:lastPrinted>
  <dcterms:created xsi:type="dcterms:W3CDTF">2021-01-12T03:57:00Z</dcterms:created>
  <dcterms:modified xsi:type="dcterms:W3CDTF">2021-01-15T05:49:00Z</dcterms:modified>
</cp:coreProperties>
</file>